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E1" w:rsidRPr="003960A3" w:rsidRDefault="00F931E1" w:rsidP="00F931E1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image1.png" descr="https://lh4.googleusercontent.com/lyfGKHz31y-RvWZ9K6zYNNqeQM9ido3zboXb7RjVWkvV4PrpLNrIswKY_0JYGn8R4Fwg2yNAQE4cuHWo7cqkCwQ0e4bpYJn0RyMA_KgAYMiZpSt8huVfabCctaOxcGS8xBfYPtW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4.googleusercontent.com/lyfGKHz31y-RvWZ9K6zYNNqeQM9ido3zboXb7RjVWkvV4PrpLNrIswKY_0JYGn8R4Fwg2yNAQE4cuHWo7cqkCwQ0e4bpYJn0RyMA_KgAYMiZpSt8huVfabCctaOxcGS8xBfYPtW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D0056" w:rsidRDefault="007D0056" w:rsidP="00F931E1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F931E1" w:rsidRPr="0048717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 w:rsidRPr="0048717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</w:p>
    <w:p w:rsidR="00F931E1" w:rsidRPr="00487173" w:rsidRDefault="00F931E1" w:rsidP="00970B90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7173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:rsidR="00F931E1" w:rsidRPr="0048717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7173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ВИКОНАВЧИЙ КОМІТЕТ</w:t>
      </w:r>
    </w:p>
    <w:p w:rsidR="00F931E1" w:rsidRPr="009F1EDF" w:rsidRDefault="00F931E1" w:rsidP="009F1EDF">
      <w:pPr>
        <w:pStyle w:val="1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</w:pPr>
      <w:r w:rsidRPr="009F1EDF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 xml:space="preserve">Р І Ш Е Н </w:t>
      </w:r>
      <w:proofErr w:type="spellStart"/>
      <w:r w:rsidRPr="009F1EDF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>Н</w:t>
      </w:r>
      <w:proofErr w:type="spellEnd"/>
      <w:r w:rsidRPr="009F1EDF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 xml:space="preserve"> Я</w:t>
      </w:r>
    </w:p>
    <w:p w:rsidR="00F931E1" w:rsidRPr="003960A3" w:rsidRDefault="00F931E1" w:rsidP="00F931E1">
      <w:pPr>
        <w:pStyle w:val="1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09C0" w:rsidRDefault="00F931E1" w:rsidP="00DF09C0">
      <w:pPr>
        <w:pStyle w:val="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</w:pPr>
      <w:r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від </w:t>
      </w:r>
      <w:r w:rsidR="00BD289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21.05.2021 </w:t>
      </w:r>
      <w:r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№</w:t>
      </w:r>
      <w:r w:rsidR="006765B4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159</w:t>
      </w:r>
      <w:r w:rsidR="007D0056"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 </w:t>
      </w:r>
    </w:p>
    <w:p w:rsidR="00970B90" w:rsidRDefault="00970B90" w:rsidP="00DF09C0">
      <w:pPr>
        <w:pStyle w:val="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931E1" w:rsidRDefault="00F931E1" w:rsidP="00DF09C0">
      <w:pPr>
        <w:pStyle w:val="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</w:p>
    <w:p w:rsidR="00F931E1" w:rsidRPr="00F931E1" w:rsidRDefault="00F931E1" w:rsidP="00F931E1">
      <w:pPr>
        <w:pStyle w:val="1"/>
        <w:spacing w:after="0" w:line="240" w:lineRule="auto"/>
        <w:ind w:right="38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</w:t>
      </w:r>
      <w:r w:rsidR="00834F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цепції </w:t>
      </w:r>
      <w:r w:rsidRPr="00F931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="006E0E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Pr="00F931E1">
        <w:rPr>
          <w:rFonts w:ascii="Times New Roman" w:hAnsi="Times New Roman" w:cs="Times New Roman"/>
          <w:bCs/>
          <w:sz w:val="28"/>
          <w:szCs w:val="28"/>
          <w:lang w:val="uk-UA"/>
        </w:rPr>
        <w:t>провадження</w:t>
      </w:r>
    </w:p>
    <w:p w:rsidR="00DF09C0" w:rsidRDefault="00F931E1" w:rsidP="009F1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31E1">
        <w:rPr>
          <w:rFonts w:ascii="Times New Roman" w:hAnsi="Times New Roman" w:cs="Times New Roman"/>
          <w:bCs/>
          <w:sz w:val="28"/>
          <w:szCs w:val="28"/>
          <w:lang w:val="uk-UA"/>
        </w:rPr>
        <w:t>системи енергетичного менеджменту</w:t>
      </w:r>
      <w:r w:rsidR="00DF09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F0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</w:p>
    <w:p w:rsidR="00F931E1" w:rsidRPr="00DF09C0" w:rsidRDefault="00DF09C0" w:rsidP="009F1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</w:t>
      </w:r>
      <w:r w:rsidR="00F931E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F931E1" w:rsidRDefault="00F931E1" w:rsidP="00487173">
      <w:pPr>
        <w:pStyle w:val="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70B90" w:rsidRPr="003960A3" w:rsidRDefault="00970B90" w:rsidP="00487173">
      <w:pPr>
        <w:pStyle w:val="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05D1" w:rsidRDefault="009104CD" w:rsidP="007E05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еруючись Законом України «Про енергозбереження» та </w:t>
      </w:r>
      <w:r w:rsidRPr="007E05D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Законом України «Про місцеве самоврядування в Україні»</w:t>
      </w:r>
      <w:r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р</w:t>
      </w:r>
      <w:r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Кабінету Міністрів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№732-р від 26.04.2017р. «Про затвердження плану заходів із впровадження систем енергетичного менеджменту в бюджетних установах»,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5732B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 w:rsidR="00E5571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="00F5732B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ефективного використання паливно-енергетичних ресурсів </w:t>
      </w:r>
      <w:r w:rsidR="007E05D1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E05D1"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підвищення енергетичної ефективності будівель бюджетних установ та організацій </w:t>
      </w:r>
      <w:proofErr w:type="spellStart"/>
      <w:r w:rsidR="007E05D1"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7E05D1" w:rsidRPr="007E0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7E05D1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31E1" w:rsidRPr="007E05D1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 w:rsidR="003C6BAA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7E05D1" w:rsidRDefault="007E05D1" w:rsidP="007E05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1E1" w:rsidRPr="007E05D1" w:rsidRDefault="007E05D1" w:rsidP="007E05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931E1" w:rsidRPr="007E05D1">
        <w:rPr>
          <w:rFonts w:ascii="Times New Roman" w:hAnsi="Times New Roman" w:cs="Times New Roman"/>
          <w:sz w:val="28"/>
          <w:szCs w:val="28"/>
          <w:lang w:val="uk-UA"/>
        </w:rPr>
        <w:t xml:space="preserve"> И Р І Ш И В:</w:t>
      </w:r>
    </w:p>
    <w:p w:rsidR="007E05D1" w:rsidRDefault="007E05D1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4722" w:rsidRDefault="00434722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Затвердити Концепцію «Запровадження системи енергет</w:t>
      </w:r>
      <w:r w:rsidR="009F1EDF">
        <w:rPr>
          <w:rFonts w:ascii="Times New Roman" w:hAnsi="Times New Roman" w:cs="Times New Roman"/>
          <w:sz w:val="28"/>
          <w:szCs w:val="28"/>
          <w:lang w:val="uk-UA"/>
        </w:rPr>
        <w:t xml:space="preserve">ичного менеджменту </w:t>
      </w:r>
      <w:r w:rsidR="00DF0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DF09C0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Малинській</w:t>
      </w:r>
      <w:proofErr w:type="spellEnd"/>
      <w:r w:rsidR="00DF0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</w:t>
      </w:r>
      <w:r w:rsidR="00F25B5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C077A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FC077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к 1</w:t>
      </w:r>
      <w:r w:rsidR="00FC077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5D1" w:rsidRDefault="007E05D1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4722" w:rsidRPr="006E0ED6" w:rsidRDefault="00434722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Керів</w:t>
      </w:r>
      <w:r w:rsidRPr="006E0ED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никам структурних підрозділів бюджетної сфери</w:t>
      </w:r>
      <w:r w:rsidR="00DF09C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proofErr w:type="spellStart"/>
      <w:r w:rsidR="00DF09C0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DF0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6E0ED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:rsidR="00434722" w:rsidRPr="006E0ED6" w:rsidRDefault="00434722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- начальник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>, молоді, спорту та національно-патріотичного виховання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>Коробейнику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4722" w:rsidRPr="006E0ED6" w:rsidRDefault="00434722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- начальнику відділу культури – </w:t>
      </w:r>
      <w:proofErr w:type="spellStart"/>
      <w:r w:rsidRPr="006E0ED6">
        <w:rPr>
          <w:rFonts w:ascii="Times New Roman" w:hAnsi="Times New Roman" w:cs="Times New Roman"/>
          <w:sz w:val="28"/>
          <w:szCs w:val="28"/>
          <w:lang w:val="uk-UA"/>
        </w:rPr>
        <w:t>Журови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4722" w:rsidRPr="006E0ED6" w:rsidRDefault="008117D8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начальнику 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УПСЗН – Недогарку С.І.</w:t>
      </w:r>
      <w:r w:rsidR="00DF09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4722" w:rsidRPr="006E0ED6" w:rsidRDefault="00DF09C0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директору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</w:t>
      </w:r>
      <w:r w:rsidR="005B181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487173">
        <w:rPr>
          <w:rFonts w:ascii="Times New Roman" w:hAnsi="Times New Roman" w:cs="Times New Roman"/>
          <w:sz w:val="28"/>
          <w:szCs w:val="28"/>
          <w:lang w:val="uk-UA"/>
        </w:rPr>
        <w:t>МР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Копиловій А.В.;</w:t>
      </w:r>
    </w:p>
    <w:p w:rsidR="00434722" w:rsidRPr="006E0ED6" w:rsidRDefault="00434722" w:rsidP="00F25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117D8"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КНП </w:t>
      </w:r>
      <w:r w:rsidR="005B18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МЦПМСД</w:t>
      </w:r>
      <w:r w:rsidR="005B1819">
        <w:rPr>
          <w:rFonts w:ascii="Times New Roman" w:hAnsi="Times New Roman" w:cs="Times New Roman"/>
          <w:sz w:val="28"/>
          <w:szCs w:val="28"/>
          <w:lang w:val="uk-UA"/>
        </w:rPr>
        <w:t>» ММР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E83F5E">
        <w:rPr>
          <w:rFonts w:ascii="Times New Roman" w:hAnsi="Times New Roman" w:cs="Times New Roman"/>
          <w:sz w:val="28"/>
          <w:szCs w:val="28"/>
          <w:lang w:val="uk-UA"/>
        </w:rPr>
        <w:t>Андрійцеву</w:t>
      </w:r>
      <w:proofErr w:type="spellEnd"/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</w:p>
    <w:p w:rsidR="00434722" w:rsidRDefault="00434722" w:rsidP="00F25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забезпечити впровадження системи енергетичного менеджменту</w:t>
      </w:r>
      <w:r w:rsidR="009F1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відповідно до затвердженої Концепції.</w:t>
      </w:r>
    </w:p>
    <w:p w:rsidR="007E05D1" w:rsidRDefault="007E05D1" w:rsidP="00F25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F25B51" w:rsidRDefault="00F25B51" w:rsidP="00F25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F25B51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3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. </w:t>
      </w:r>
      <w:r w:rsidRPr="00270AB3">
        <w:rPr>
          <w:rFonts w:ascii="Times New Roman" w:hAnsi="Times New Roman" w:cs="Times New Roman"/>
          <w:color w:val="000000"/>
          <w:sz w:val="28"/>
          <w:lang w:val="uk-UA"/>
        </w:rPr>
        <w:t>Вважати таким, що втратило чинність рішення виконавч</w:t>
      </w:r>
      <w:r>
        <w:rPr>
          <w:rFonts w:ascii="Times New Roman" w:hAnsi="Times New Roman" w:cs="Times New Roman"/>
          <w:color w:val="000000"/>
          <w:sz w:val="28"/>
          <w:lang w:val="uk-UA"/>
        </w:rPr>
        <w:t>ого комітету міської ради від 05.08.2019</w:t>
      </w:r>
      <w:r w:rsidRPr="00270AB3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uk-UA"/>
        </w:rPr>
        <w:t>№115</w:t>
      </w:r>
      <w:r w:rsidRPr="00270AB3">
        <w:rPr>
          <w:rFonts w:ascii="Times New Roman" w:hAnsi="Times New Roman" w:cs="Times New Roman"/>
          <w:color w:val="000000"/>
          <w:sz w:val="28"/>
          <w:lang w:val="uk-UA"/>
        </w:rPr>
        <w:t xml:space="preserve"> «Про затвердження 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Концепції «Запровадження системи енергетичного менеджменту в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м.Малині</w:t>
      </w:r>
      <w:proofErr w:type="spellEnd"/>
      <w:r>
        <w:rPr>
          <w:rFonts w:ascii="Times New Roman" w:hAnsi="Times New Roman" w:cs="Times New Roman"/>
          <w:color w:val="000000"/>
          <w:sz w:val="28"/>
          <w:lang w:val="uk-UA"/>
        </w:rPr>
        <w:t>»»</w:t>
      </w:r>
      <w:r w:rsidR="00CE5AF8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434722" w:rsidRPr="006E0ED6" w:rsidRDefault="00F25B51" w:rsidP="00F25B51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34722" w:rsidRPr="006E0ED6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8117D8">
        <w:rPr>
          <w:rFonts w:ascii="Times New Roman" w:hAnsi="Times New Roman" w:cs="Times New Roman"/>
          <w:sz w:val="28"/>
          <w:lang w:val="uk-UA"/>
        </w:rPr>
        <w:t>Леоніда МАРТИНЕНКА.</w:t>
      </w:r>
    </w:p>
    <w:p w:rsidR="00F931E1" w:rsidRPr="006E0ED6" w:rsidRDefault="00F931E1" w:rsidP="00F931E1">
      <w:pPr>
        <w:tabs>
          <w:tab w:val="left" w:pos="298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B51" w:rsidRDefault="00F25B51" w:rsidP="00F93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A05D38" w:rsidRPr="006E0ED6" w:rsidRDefault="00A05D38" w:rsidP="00F93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6BAA" w:rsidRPr="003960A3" w:rsidRDefault="00F931E1" w:rsidP="00F931E1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 голова                                              </w:t>
      </w:r>
      <w:r w:rsidR="008117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8117D8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 СИТАЙЛО</w:t>
      </w:r>
    </w:p>
    <w:p w:rsidR="00CE5AF8" w:rsidRPr="00FC077A" w:rsidRDefault="00CE5AF8" w:rsidP="00CE5AF8">
      <w:pPr>
        <w:tabs>
          <w:tab w:val="left" w:pos="298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Леонід МАРТИНЕНКО</w:t>
      </w:r>
    </w:p>
    <w:p w:rsidR="00CE5AF8" w:rsidRPr="00FC077A" w:rsidRDefault="00CE5AF8" w:rsidP="00CE5AF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Ірина КОПИЛО</w:t>
      </w:r>
    </w:p>
    <w:p w:rsidR="00CE5AF8" w:rsidRPr="00FC077A" w:rsidRDefault="00CE5AF8" w:rsidP="00CE5AF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Михайло ПАРФІНЕНКО</w:t>
      </w:r>
    </w:p>
    <w:p w:rsidR="00CE5AF8" w:rsidRPr="00FC077A" w:rsidRDefault="00CE5AF8" w:rsidP="00CE5AF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C077A">
        <w:rPr>
          <w:rFonts w:ascii="Times New Roman" w:hAnsi="Times New Roman"/>
          <w:sz w:val="20"/>
          <w:szCs w:val="20"/>
          <w:lang w:val="uk-UA"/>
        </w:rPr>
        <w:t>Леся КУЧЕВСЬКА</w:t>
      </w: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7E05D1" w:rsidRDefault="007E05D1" w:rsidP="00CE5AF8">
      <w:pPr>
        <w:spacing w:after="0" w:line="240" w:lineRule="auto"/>
        <w:rPr>
          <w:rFonts w:ascii="Times New Roman" w:hAnsi="Times New Roman"/>
          <w:lang w:val="uk-UA"/>
        </w:rPr>
      </w:pPr>
    </w:p>
    <w:p w:rsidR="002E2870" w:rsidRDefault="002E2870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970B90" w:rsidRDefault="00970B90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2E2870" w:rsidRDefault="002E2870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B17602" w:rsidRPr="00FC077A" w:rsidRDefault="00970B90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Додаток </w:t>
      </w:r>
      <w:bookmarkStart w:id="0" w:name="_GoBack"/>
      <w:bookmarkEnd w:id="0"/>
    </w:p>
    <w:p w:rsidR="00B17602" w:rsidRPr="00FC077A" w:rsidRDefault="009F1EDF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FC077A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</w:t>
      </w:r>
      <w:r w:rsidR="00B17602" w:rsidRPr="00FC077A">
        <w:rPr>
          <w:rFonts w:ascii="Times New Roman" w:hAnsi="Times New Roman" w:cs="Times New Roman"/>
          <w:sz w:val="20"/>
          <w:szCs w:val="20"/>
          <w:lang w:val="uk-UA"/>
        </w:rPr>
        <w:t>викон</w:t>
      </w:r>
      <w:r w:rsidR="00487173" w:rsidRPr="00FC077A">
        <w:rPr>
          <w:rFonts w:ascii="Times New Roman" w:hAnsi="Times New Roman" w:cs="Times New Roman"/>
          <w:sz w:val="20"/>
          <w:szCs w:val="20"/>
          <w:lang w:val="uk-UA"/>
        </w:rPr>
        <w:t>авчого комітету</w:t>
      </w:r>
      <w:r w:rsidR="00B17602" w:rsidRPr="00FC077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B17602" w:rsidRPr="00FC077A" w:rsidRDefault="00B17602" w:rsidP="00B17602">
      <w:pPr>
        <w:pStyle w:val="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FC077A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B348AE">
        <w:rPr>
          <w:rFonts w:ascii="Times New Roman" w:hAnsi="Times New Roman" w:cs="Times New Roman"/>
          <w:sz w:val="20"/>
          <w:szCs w:val="20"/>
          <w:lang w:val="uk-UA"/>
        </w:rPr>
        <w:t xml:space="preserve">21.05.2021 </w:t>
      </w:r>
      <w:r w:rsidRPr="00FC077A">
        <w:rPr>
          <w:rFonts w:ascii="Times New Roman" w:hAnsi="Times New Roman" w:cs="Times New Roman"/>
          <w:sz w:val="20"/>
          <w:szCs w:val="20"/>
          <w:lang w:val="uk-UA"/>
        </w:rPr>
        <w:t xml:space="preserve"> №</w:t>
      </w:r>
      <w:r w:rsidR="007D0056" w:rsidRPr="00FC077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348AE">
        <w:rPr>
          <w:rFonts w:ascii="Times New Roman" w:hAnsi="Times New Roman" w:cs="Times New Roman"/>
          <w:sz w:val="20"/>
          <w:szCs w:val="20"/>
          <w:lang w:val="uk-UA"/>
        </w:rPr>
        <w:t>159</w:t>
      </w:r>
    </w:p>
    <w:p w:rsidR="008353B4" w:rsidRDefault="008353B4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17602" w:rsidRPr="00B17602" w:rsidRDefault="00B17602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17602" w:rsidRPr="000D4D93" w:rsidRDefault="00B17602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Концепція запровадження</w:t>
      </w:r>
    </w:p>
    <w:p w:rsidR="00B17602" w:rsidRPr="001F4A5B" w:rsidRDefault="00B17602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системи енергетичного менеджменту</w:t>
      </w:r>
      <w:r w:rsidR="001F4A5B" w:rsidRPr="007E05D1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</w:p>
    <w:p w:rsidR="00B17602" w:rsidRPr="007E05D1" w:rsidRDefault="001F4A5B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F4A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Малинській</w:t>
      </w:r>
      <w:proofErr w:type="spellEnd"/>
      <w:r w:rsidRPr="001F4A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міській територіальній громаді</w:t>
      </w:r>
    </w:p>
    <w:p w:rsidR="008353B4" w:rsidRPr="00735D80" w:rsidRDefault="008353B4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D4D93" w:rsidRPr="00360A9D" w:rsidRDefault="000D4D93" w:rsidP="00360A9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360A9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Загальна частина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Система енергетичного менеджменту - частина загальної системи управління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бюджетним та комунальним секторами, </w:t>
      </w:r>
      <w:r w:rsidR="00D63651" w:rsidRPr="00D63651">
        <w:rPr>
          <w:rFonts w:ascii="Times New Roman" w:hAnsi="Times New Roman" w:cs="Times New Roman"/>
          <w:sz w:val="28"/>
          <w:szCs w:val="28"/>
        </w:rPr>
        <w:t>яка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раціональне використання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енергетичних ресурсів у процес</w:t>
      </w:r>
      <w:r w:rsidR="008353B4">
        <w:rPr>
          <w:rFonts w:ascii="Times New Roman" w:hAnsi="Times New Roman" w:cs="Times New Roman"/>
          <w:sz w:val="28"/>
          <w:szCs w:val="28"/>
          <w:lang w:val="uk-UA"/>
        </w:rPr>
        <w:t>і забезпечення потреб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F4A5B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1F4A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</w:t>
      </w:r>
      <w:r w:rsidR="001F4A5B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 xml:space="preserve">(надалі – громади)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необхідними енергетичними послугами. Цей вид управлінської діяльності спирається на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політику міської ради в питаннях використання енергоресурсів, має власні цілі та завдання,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відповідну організаційну структуру, кадрове, інформаційне та фінансове забезпечення,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особливі процедури планування, впровадження, оцінки діяльності у сфері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енергокористування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4D93" w:rsidRDefault="000D4D93" w:rsidP="00D63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придбання енергоносіїв у структурі бюджету </w:t>
      </w:r>
      <w:r w:rsidR="001F4A5B" w:rsidRPr="000D4D93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невпинно зростають внаслідок національних та світових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тенденцій до підвищення цін </w:t>
      </w:r>
      <w:r w:rsidR="00D63651">
        <w:rPr>
          <w:rFonts w:ascii="Times New Roman" w:hAnsi="Times New Roman" w:cs="Times New Roman"/>
          <w:sz w:val="28"/>
          <w:szCs w:val="28"/>
          <w:lang w:val="uk-UA"/>
        </w:rPr>
        <w:t>на енергоресурси. Зокрема, у 2020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році потреба бюджетних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коштів лише на оплату електроенергії, природного газу, твердого палива та послуг з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водопостач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>ання та водовідведення становила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651"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="00BA29B6" w:rsidRPr="001F4A5B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29B6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Pr="00BA29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Основна маса придбаних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громадою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енергоресурсів споживається будівлями, які знаходяться на балансі бюджетних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установ та організацій. Значна частина цих ресурсів використовується нераціонально через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застарілі технології, низьку якість експлуатації будівель та енергетичного обладнання, а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також через недосконале управління процесами генерування та доставки енергоресурсів і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перетворення їх у відповідні послуги.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стратегії розвитку інфраструктури, соціальної сфери </w:t>
      </w:r>
      <w:r w:rsidR="001F4A5B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C37A58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потребує вирішення питань використання енергетичних ресурсів на засадах професійного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управління та принципах сталого розвитку.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Досвід європейських країн та українських міст щодо впровадження та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функціонування системи енергетичного менеджменту дозволяє говорити про високу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ефективність такого заходу, що пов’язано зі зниженням витрат на енергоресурси та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підвищенням ефективності використання бюджетних та залучених коштів на модернізацію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об’єктів муніципальної інфраструктури, 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зі споживання енергоносіїв. Тому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ознайомившись з досвідом європейських та українських міст, вирішено у </w:t>
      </w:r>
      <w:r w:rsidR="001F4A5B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запровадити систему енергетичного менеджменту.</w:t>
      </w:r>
    </w:p>
    <w:p w:rsidR="00B31763" w:rsidRDefault="00D63651" w:rsidP="00B31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651">
        <w:rPr>
          <w:rStyle w:val="a7"/>
          <w:rFonts w:eastAsiaTheme="minorEastAsia"/>
          <w:sz w:val="28"/>
          <w:szCs w:val="28"/>
        </w:rPr>
        <w:t>Систе</w:t>
      </w:r>
      <w:r w:rsidRPr="00D63651">
        <w:rPr>
          <w:rFonts w:ascii="Times New Roman" w:hAnsi="Times New Roman" w:cs="Times New Roman"/>
          <w:sz w:val="28"/>
          <w:szCs w:val="28"/>
          <w:u w:val="single"/>
          <w:lang w:val="uk-UA"/>
        </w:rPr>
        <w:t>ма енергетичного менеджменту</w:t>
      </w:r>
      <w:r w:rsidRPr="00D63651">
        <w:rPr>
          <w:rFonts w:ascii="Times New Roman" w:hAnsi="Times New Roman" w:cs="Times New Roman"/>
          <w:sz w:val="28"/>
          <w:szCs w:val="28"/>
          <w:lang w:val="uk-UA"/>
        </w:rPr>
        <w:t xml:space="preserve"> – це 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>частина загальної системи</w:t>
      </w:r>
      <w:r w:rsidRPr="00D6365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енергетичною інфраструктурою 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D63651">
        <w:rPr>
          <w:rFonts w:ascii="Times New Roman" w:hAnsi="Times New Roman" w:cs="Times New Roman"/>
          <w:sz w:val="28"/>
          <w:szCs w:val="28"/>
          <w:lang w:val="uk-UA"/>
        </w:rPr>
        <w:t>для скорочення витрат на енергоносії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раціональне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енергетичних ресурсів у процесі забезпечення потреб 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>необхідними енергетичними послугами.</w:t>
      </w:r>
    </w:p>
    <w:p w:rsidR="00D63651" w:rsidRPr="00D63651" w:rsidRDefault="00B31763" w:rsidP="00B31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763">
        <w:rPr>
          <w:rFonts w:ascii="Times New Roman" w:hAnsi="Times New Roman" w:cs="Times New Roman"/>
          <w:sz w:val="28"/>
          <w:szCs w:val="28"/>
          <w:lang w:val="uk-UA"/>
        </w:rPr>
        <w:lastRenderedPageBreak/>
        <w:t>Цей вид управлінської діяльності опирається на політику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B3176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виконавчих органів в питаннях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>використання енергоресурсів, має власні цілі та завдання, відповідну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>організаційну структуру, кадрове, інформаційне та фінансове забезпечення,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1763">
        <w:rPr>
          <w:rFonts w:ascii="Times New Roman" w:hAnsi="Times New Roman" w:cs="Times New Roman"/>
          <w:sz w:val="28"/>
          <w:szCs w:val="28"/>
          <w:lang w:val="uk-UA"/>
        </w:rPr>
        <w:t>особливі процедури планування, впровадження, оцінки діяльності у сфері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1763">
        <w:rPr>
          <w:rFonts w:ascii="Times New Roman" w:hAnsi="Times New Roman" w:cs="Times New Roman"/>
          <w:sz w:val="28"/>
          <w:szCs w:val="28"/>
          <w:lang w:val="uk-UA"/>
        </w:rPr>
        <w:t>енергокористування</w:t>
      </w:r>
      <w:proofErr w:type="spellEnd"/>
      <w:r w:rsidRPr="00B317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3651" w:rsidRPr="00D63651" w:rsidRDefault="00D63651" w:rsidP="00B3176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651">
        <w:rPr>
          <w:rFonts w:ascii="Times New Roman" w:hAnsi="Times New Roman" w:cs="Times New Roman"/>
          <w:sz w:val="28"/>
          <w:szCs w:val="28"/>
          <w:lang w:val="uk-UA"/>
        </w:rPr>
        <w:t>Діяльність системи енергетичного менеджменту повинна фінансуватися міською радою в питаннях кадрів, інформаційного та фінансового забезпечення для досягнення означених системою менеджменту цілей.</w:t>
      </w:r>
    </w:p>
    <w:p w:rsidR="00D63651" w:rsidRPr="00D63651" w:rsidRDefault="00D63651" w:rsidP="00B3176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651">
        <w:rPr>
          <w:rFonts w:ascii="Times New Roman" w:hAnsi="Times New Roman" w:cs="Times New Roman"/>
          <w:sz w:val="28"/>
          <w:szCs w:val="28"/>
          <w:lang w:val="uk-UA"/>
        </w:rPr>
        <w:t xml:space="preserve">Без вирішення цих питань неможливий сталий розвиток </w:t>
      </w:r>
      <w:r w:rsidR="00B3176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D6365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D5673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D63651">
        <w:rPr>
          <w:rFonts w:ascii="Times New Roman" w:hAnsi="Times New Roman" w:cs="Times New Roman"/>
          <w:sz w:val="28"/>
          <w:szCs w:val="28"/>
          <w:lang w:val="uk-UA"/>
        </w:rPr>
        <w:t>інтеграція з Європейською спільнотою.</w:t>
      </w:r>
    </w:p>
    <w:p w:rsidR="00FE3CDC" w:rsidRDefault="00FE3CDC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D93" w:rsidRPr="000D4D93" w:rsidRDefault="00FE3CDC" w:rsidP="00780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2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Мета і основне завдання Концепції</w:t>
      </w:r>
    </w:p>
    <w:p w:rsidR="00432B16" w:rsidRDefault="000D4D93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Метою Концепції є визначення стратегії формування професійних управлінських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механізмів та прийняття рішень в сфері споживання енергоносіїв, які у перспективі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забезпечать для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B1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432B16">
        <w:rPr>
          <w:rFonts w:ascii="Times New Roman" w:hAnsi="Times New Roman" w:cs="Times New Roman"/>
          <w:sz w:val="28"/>
          <w:szCs w:val="28"/>
          <w:lang w:val="uk-UA"/>
        </w:rPr>
        <w:t>раціональне використання бюджетних коштів на придбання енергоресурсів;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оптимізацію структури споживання енергоресурсів;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використання всіх видів енергоносіїв;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D5673">
        <w:rPr>
          <w:rFonts w:ascii="Times New Roman" w:hAnsi="Times New Roman" w:cs="Times New Roman"/>
          <w:sz w:val="28"/>
          <w:szCs w:val="28"/>
          <w:lang w:val="uk-UA"/>
        </w:rPr>
        <w:t>ліпшенн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я якості надання енергетичних послуг та можливостей для їх регулювання;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налагодження енергоефективної експлуатації </w:t>
      </w:r>
      <w:r w:rsidR="00CD567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будівель </w:t>
      </w:r>
      <w:r w:rsidR="00CD5673">
        <w:rPr>
          <w:rFonts w:ascii="Times New Roman" w:hAnsi="Times New Roman" w:cs="Times New Roman"/>
          <w:sz w:val="28"/>
          <w:szCs w:val="28"/>
          <w:lang w:val="uk-UA"/>
        </w:rPr>
        <w:t>та споруд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скорочення викидів СО</w:t>
      </w:r>
      <w:r w:rsidR="006C04E9" w:rsidRPr="006C04E9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, розвиток екологічно орієнтованої економіки, підвищення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якості життя;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формування ощадливої поведінки споживачів енергетичних послуг;</w:t>
      </w:r>
    </w:p>
    <w:p w:rsidR="00CD5673" w:rsidRPr="00CD5673" w:rsidRDefault="00CD5673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673">
        <w:rPr>
          <w:rFonts w:ascii="Times New Roman" w:hAnsi="Times New Roman" w:cs="Times New Roman"/>
          <w:sz w:val="28"/>
          <w:szCs w:val="28"/>
          <w:lang w:val="uk-UA"/>
        </w:rPr>
        <w:t>- доведення показників споживання енергії до рівня сучасних світових стандартів;</w:t>
      </w:r>
    </w:p>
    <w:p w:rsidR="00432B16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запровадження системи економічного стимулювання енергозберігаючих заходів в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бюджетних установах, організаціях та комунальних підприємствах;</w:t>
      </w:r>
    </w:p>
    <w:p w:rsidR="000D4D93" w:rsidRPr="000D4D93" w:rsidRDefault="00432B16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алучення інвестицій у процеси технологічної та енергоефективної модернізації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інфраструктури громади.</w:t>
      </w:r>
    </w:p>
    <w:p w:rsidR="00CD5673" w:rsidRPr="00946007" w:rsidRDefault="00CD5673" w:rsidP="00CD5673">
      <w:pPr>
        <w:tabs>
          <w:tab w:val="left" w:pos="426"/>
        </w:tabs>
        <w:spacing w:after="0" w:line="240" w:lineRule="auto"/>
        <w:ind w:firstLine="567"/>
        <w:jc w:val="both"/>
        <w:rPr>
          <w:sz w:val="24"/>
          <w:szCs w:val="24"/>
          <w:lang w:val="uk-UA"/>
        </w:rPr>
      </w:pPr>
      <w:r w:rsidRPr="00CD5673">
        <w:rPr>
          <w:rFonts w:ascii="Times New Roman" w:hAnsi="Times New Roman" w:cs="Times New Roman"/>
          <w:sz w:val="28"/>
          <w:szCs w:val="28"/>
          <w:lang w:val="uk-UA"/>
        </w:rPr>
        <w:t xml:space="preserve">Основним завданням Концепції є вибір організаційно-управлінських та технологічних підходів, на підставі яких мають бути визначені довгострокові пріоритети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CD5673">
        <w:rPr>
          <w:rFonts w:ascii="Times New Roman" w:hAnsi="Times New Roman" w:cs="Times New Roman"/>
          <w:sz w:val="28"/>
          <w:szCs w:val="28"/>
          <w:lang w:val="uk-UA"/>
        </w:rPr>
        <w:t xml:space="preserve"> у питаннях енергозбереження та розроблена модель системи енергетичного менеджменту, в першу чергу для бюджетної сфери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sz w:val="24"/>
          <w:szCs w:val="24"/>
          <w:lang w:val="uk-UA"/>
        </w:rPr>
        <w:t>.</w:t>
      </w:r>
    </w:p>
    <w:p w:rsidR="00305BA1" w:rsidRPr="000D4D93" w:rsidRDefault="00305BA1" w:rsidP="0043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D93" w:rsidRPr="000D4D93" w:rsidRDefault="00305BA1" w:rsidP="00305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3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Переваги енергетичного менеджменту в порівнянні з традиційним контролем</w:t>
      </w:r>
      <w:r w:rsidR="00FB27B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споживання енергетичних ресурсів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На відміну від традиційного контролю споживання паливно-енергетичних 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>ресурсів е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нергетичний менеджмент включає такі задачі:</w:t>
      </w:r>
    </w:p>
    <w:p w:rsidR="000D4D93" w:rsidRDefault="00432B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аналіз ефективності використання паливно-енергетичних ресурсів;</w:t>
      </w:r>
    </w:p>
    <w:p w:rsidR="000D4D93" w:rsidRPr="000D4D93" w:rsidRDefault="00432B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оптимальне регулювання процесів теплопостачання;</w:t>
      </w:r>
    </w:p>
    <w:p w:rsidR="000D4D93" w:rsidRPr="000D4D93" w:rsidRDefault="00432B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прогнозування обсягів споживання паливно-енергетичних ресурсів в залежності від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погодних умов та інших впливових факторів;</w:t>
      </w:r>
    </w:p>
    <w:p w:rsidR="000D4D93" w:rsidRPr="000D4D93" w:rsidRDefault="00F705B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оптимальне планування ремонтно-технічного обслуговування систем теплопостачання;</w:t>
      </w:r>
    </w:p>
    <w:p w:rsidR="000D4D93" w:rsidRDefault="00F705B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розробка енергозберігаючих заходів і визначення пріоритетів їх реалізації;</w:t>
      </w:r>
    </w:p>
    <w:p w:rsidR="000D4D93" w:rsidRPr="000D4D93" w:rsidRDefault="00F705B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моніторинг фактичної техніко-економічної ефективності енергозберігаючих заходів.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системи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за вимог</w:t>
      </w:r>
      <w:r w:rsidR="00CD5673">
        <w:rPr>
          <w:rFonts w:ascii="Times New Roman" w:hAnsi="Times New Roman" w:cs="Times New Roman"/>
          <w:sz w:val="28"/>
          <w:szCs w:val="28"/>
          <w:lang w:val="uk-UA"/>
        </w:rPr>
        <w:t>ами стандарту ДСТУ ISO</w:t>
      </w:r>
      <w:r w:rsidR="006E5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5673">
        <w:rPr>
          <w:rFonts w:ascii="Times New Roman" w:hAnsi="Times New Roman" w:cs="Times New Roman"/>
          <w:sz w:val="28"/>
          <w:szCs w:val="28"/>
          <w:lang w:val="uk-UA"/>
        </w:rPr>
        <w:t>50001:2020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дозволяє організаціям послідовно і з найменшими витратами поліпшити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ефективність виробництва і використання енергії, а також отримати значні вигоди за рахунок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оптимального використання своїх енергоресурсів та енергетичних активів, зменшуючи,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таким чином, вартість споживання енергії та ресурсів. Значну роль в успішному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функціонуванні системи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відіграють співробітники організацій. Тому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відповідне управління персоналом і його мотивація можуть сприяти значному зниженню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витрат при ремонті та обслуговуванні обладнання.</w:t>
      </w:r>
    </w:p>
    <w:p w:rsidR="00F705B3" w:rsidRDefault="00F705B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D4D93" w:rsidRPr="000D4D93" w:rsidRDefault="00F705B3" w:rsidP="00F705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4. 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Існуючий стан управління енергоресурсами в громаді</w:t>
      </w:r>
    </w:p>
    <w:p w:rsidR="006E5E40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Сучасні технологічні можливості енергоефективного поліпшення будівель і систем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установ, організацій та комунальних підприємств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, зокрема регулювання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споживання енергоресурсів в залежності від обсягу завдань та функцій, використовується не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 достатній мірі. </w:t>
      </w:r>
    </w:p>
    <w:p w:rsidR="006E5E40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Роботи з розробки та впровадження заходів з енергозбереження </w:t>
      </w:r>
      <w:r w:rsidR="006E5E40">
        <w:rPr>
          <w:rFonts w:ascii="Times New Roman" w:hAnsi="Times New Roman" w:cs="Times New Roman"/>
          <w:sz w:val="28"/>
          <w:szCs w:val="28"/>
          <w:lang w:val="uk-UA"/>
        </w:rPr>
        <w:t>потребують постійного вдосконалення.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виступає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основним джерелом реалізації проектів з енергозбереження в комунальній інфраструктурі.</w:t>
      </w:r>
    </w:p>
    <w:p w:rsidR="00E76B55" w:rsidRPr="00E76B55" w:rsidRDefault="00E76B55" w:rsidP="00E76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6B55">
        <w:rPr>
          <w:rFonts w:ascii="Times New Roman" w:hAnsi="Times New Roman" w:cs="Times New Roman"/>
          <w:sz w:val="28"/>
          <w:szCs w:val="28"/>
          <w:lang w:val="uk-UA"/>
        </w:rPr>
        <w:t xml:space="preserve">У сфері енергоспоживання бюджетних установ та комунальних підприємств на території громади сьогодні домінують </w:t>
      </w:r>
      <w:proofErr w:type="spellStart"/>
      <w:r w:rsidRPr="00E76B55">
        <w:rPr>
          <w:rFonts w:ascii="Times New Roman" w:hAnsi="Times New Roman" w:cs="Times New Roman"/>
          <w:sz w:val="28"/>
          <w:szCs w:val="28"/>
          <w:lang w:val="uk-UA"/>
        </w:rPr>
        <w:t>енергозатратні</w:t>
      </w:r>
      <w:proofErr w:type="spellEnd"/>
      <w:r w:rsidRPr="00E76B55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технологічні підходи. Рівень обслуговування будівель, систем та обладнання залишається низьким. Роботи з розробки та впровадження заходів з енергозбереження носять спонтанний характер. </w:t>
      </w:r>
      <w:r w:rsidR="000D4D93" w:rsidRPr="00E76B55">
        <w:rPr>
          <w:rFonts w:ascii="Times New Roman" w:hAnsi="Times New Roman" w:cs="Times New Roman"/>
          <w:sz w:val="28"/>
          <w:szCs w:val="28"/>
          <w:lang w:val="uk-UA"/>
        </w:rPr>
        <w:t xml:space="preserve">Цілісна система управління процесами енергоспоживання </w:t>
      </w:r>
      <w:r w:rsidRPr="00E76B55">
        <w:rPr>
          <w:rFonts w:ascii="Times New Roman" w:hAnsi="Times New Roman" w:cs="Times New Roman"/>
          <w:sz w:val="28"/>
          <w:szCs w:val="28"/>
          <w:lang w:val="uk-UA"/>
        </w:rPr>
        <w:t>на досить низькому рівні</w:t>
      </w:r>
      <w:r w:rsidR="000D4D93" w:rsidRPr="00E76B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6B55">
        <w:rPr>
          <w:rFonts w:ascii="Times New Roman" w:hAnsi="Times New Roman" w:cs="Times New Roman"/>
          <w:sz w:val="28"/>
          <w:szCs w:val="28"/>
          <w:lang w:val="uk-UA"/>
        </w:rPr>
        <w:t>Просвітницька діяльність серед молоді щодо енергозбереження та охорони навколишнього середовища проводиться в недостатньому обсязі.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Моніторинг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споживання енергоресурсів здійснюється на місцях у дуже спрощеній формі, а аналіз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ефективності використання енергоресурсів майже не проводиться. Усе це призводить не</w:t>
      </w:r>
      <w:r w:rsidR="00E76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тільки до необґрунтовано високих втрат енергоресурсів через наявність застарілих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технологій, систем і обладнання, але й до зниження якості енергетичних послуг при спробах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організувати 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заощадження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енергоресурсів.</w:t>
      </w:r>
    </w:p>
    <w:p w:rsidR="00357D92" w:rsidRPr="00357D92" w:rsidRDefault="00357D9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D92">
        <w:rPr>
          <w:rFonts w:ascii="Times New Roman" w:hAnsi="Times New Roman" w:cs="Times New Roman"/>
          <w:sz w:val="28"/>
          <w:szCs w:val="28"/>
          <w:lang w:val="uk-UA"/>
        </w:rPr>
        <w:t xml:space="preserve">Важко оцінити ефективність використання енергії на кожному конкретному об'єкті через відсутність чіткої політики, професійно вишколених спеціалістів з </w:t>
      </w:r>
      <w:proofErr w:type="spellStart"/>
      <w:r w:rsidRPr="00357D92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357D92">
        <w:rPr>
          <w:rFonts w:ascii="Times New Roman" w:hAnsi="Times New Roman" w:cs="Times New Roman"/>
          <w:sz w:val="28"/>
          <w:szCs w:val="28"/>
          <w:lang w:val="uk-UA"/>
        </w:rPr>
        <w:t>, інформації щодо обсягів енергоспоживання та факторів, які суттєво впливають на споживання енергії</w:t>
      </w:r>
    </w:p>
    <w:p w:rsidR="00357D92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Саме тому у період стрімкого зростання цін на</w:t>
      </w:r>
      <w:r w:rsidR="00357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енергоносії в Україні чи не єдиною можливістю стабілізації енергетичного ринку через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управлінські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lastRenderedPageBreak/>
        <w:t>рішення стало введення обмежень на споживання енергії (</w:t>
      </w:r>
      <w:r w:rsidR="00357D92"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енергоресурсів відносно базового рівня,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лімітування). 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Цей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підхід дозволив, з одного боку, зменшити споживання енергії</w:t>
      </w:r>
      <w:r w:rsidR="00357D92">
        <w:rPr>
          <w:rFonts w:ascii="Times New Roman" w:hAnsi="Times New Roman" w:cs="Times New Roman"/>
          <w:sz w:val="28"/>
          <w:szCs w:val="28"/>
          <w:lang w:val="uk-UA"/>
        </w:rPr>
        <w:t xml:space="preserve"> (у тому числі за рахунок усунення марнотратства)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, але з іншого боку, призвів до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погіршення якості основних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енергомістких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послуг (теплопостачання, освітлення,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водопостачання). Тому лімітування енергоносіїв можна розглядати лише як тимчасовий західна шляху до вирішення проблеми управління енергоспоживанням.</w:t>
      </w:r>
    </w:p>
    <w:p w:rsidR="000D4D93" w:rsidRPr="003430EB" w:rsidRDefault="000D4D93" w:rsidP="003430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Відсутність </w:t>
      </w:r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спеціалістів з </w:t>
      </w:r>
      <w:proofErr w:type="spellStart"/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3430EB">
        <w:rPr>
          <w:rFonts w:ascii="Times New Roman" w:hAnsi="Times New Roman" w:cs="Times New Roman"/>
          <w:sz w:val="28"/>
          <w:szCs w:val="28"/>
          <w:lang w:val="uk-UA"/>
        </w:rPr>
        <w:t>, оперативних даних про енергоспоживання в бюджеті</w:t>
      </w:r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3430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27B4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30EB">
        <w:rPr>
          <w:rFonts w:ascii="Times New Roman" w:hAnsi="Times New Roman" w:cs="Times New Roman"/>
          <w:sz w:val="28"/>
          <w:szCs w:val="28"/>
          <w:lang w:val="uk-UA"/>
        </w:rPr>
        <w:t>інформаційних та фінансових інструментів створює проблеми при плануванні енергоощадної</w:t>
      </w:r>
      <w:r w:rsidR="00FB27B4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30EB">
        <w:rPr>
          <w:rFonts w:ascii="Times New Roman" w:hAnsi="Times New Roman" w:cs="Times New Roman"/>
          <w:sz w:val="28"/>
          <w:szCs w:val="28"/>
          <w:lang w:val="uk-UA"/>
        </w:rPr>
        <w:t>діяльності, інвестуванні в енергоощадні проекти і подальшій експлуатації модернізованих</w:t>
      </w:r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30EB">
        <w:rPr>
          <w:rFonts w:ascii="Times New Roman" w:hAnsi="Times New Roman" w:cs="Times New Roman"/>
          <w:sz w:val="28"/>
          <w:szCs w:val="28"/>
          <w:lang w:val="uk-UA"/>
        </w:rPr>
        <w:t>об'єктів.</w:t>
      </w:r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Зокрема це призводить до необґрунтовано великих витрат бюджету</w:t>
      </w:r>
      <w:r w:rsidR="003430EB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>на етапі енергетичного обстеження бюджетних установ, з метою вибору</w:t>
      </w:r>
      <w:r w:rsidR="003430EB" w:rsidRPr="00343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D92" w:rsidRPr="003430EB">
        <w:rPr>
          <w:rFonts w:ascii="Times New Roman" w:hAnsi="Times New Roman" w:cs="Times New Roman"/>
          <w:sz w:val="28"/>
          <w:szCs w:val="28"/>
          <w:lang w:val="uk-UA"/>
        </w:rPr>
        <w:t>заходів з підвищення ефективності енергоспоживання.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Реалізація енергоефективних проектів у бюджетних установах (таких, як: капітальний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ремонт систем теплопостачання, заміна вікон, переведення котелень на альтернативний вид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палива</w:t>
      </w:r>
      <w:r w:rsidR="003430EB">
        <w:rPr>
          <w:rFonts w:ascii="Times New Roman" w:hAnsi="Times New Roman" w:cs="Times New Roman"/>
          <w:sz w:val="28"/>
          <w:szCs w:val="28"/>
          <w:lang w:val="uk-UA"/>
        </w:rPr>
        <w:t xml:space="preserve"> зі збереженням можливості використання природного газу,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тощо)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свідчить, що впровадження сучасного високотехнологічного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обладнання дає можливість заощаджувати значні обсяги енергоресурсів, але при цьому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проблеми організаційно-управлінського та технічного характеру залишаються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343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вирішеними.</w:t>
      </w:r>
    </w:p>
    <w:p w:rsidR="003C6BAA" w:rsidRDefault="003C6BAA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D93" w:rsidRPr="00735D80" w:rsidRDefault="00735D80" w:rsidP="00B1760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735D80">
        <w:rPr>
          <w:rFonts w:ascii="Times New Roman" w:hAnsi="Times New Roman" w:cs="Times New Roman"/>
          <w:b/>
          <w:bCs/>
          <w:iCs/>
          <w:sz w:val="28"/>
          <w:szCs w:val="28"/>
        </w:rPr>
        <w:t>5.</w:t>
      </w:r>
      <w:r w:rsidR="000D4D93"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Концептуальна модель створення системи </w:t>
      </w:r>
      <w:proofErr w:type="spellStart"/>
      <w:r w:rsidR="000D4D93"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енергоменеджменту</w:t>
      </w:r>
      <w:proofErr w:type="spellEnd"/>
    </w:p>
    <w:p w:rsidR="00FB27B4" w:rsidRPr="00FB27B4" w:rsidRDefault="00FB27B4" w:rsidP="00FB2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B27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Малинської</w:t>
      </w:r>
      <w:proofErr w:type="spellEnd"/>
      <w:r w:rsidRPr="00FB27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міської територіальної</w:t>
      </w:r>
      <w:r w:rsidRPr="00FB27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Система управління енергоспоживанням для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має поєднати в собі увесь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спектр завдань, які стосуються контролю за енергоспоживанням та умовами комфорту,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планування видатків на придбання енергоресурсів, ефективної експлуатації будівель,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житлових будинків, енергоефективного проектування, будівництва та реконструкції об’єктів,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залучення інвестицій.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запропонованої концепції дозволить створити в 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сучасну систему управління енергоспоживанням для бюджетних установ та комунальних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підприємств, яка </w:t>
      </w:r>
      <w:r w:rsidR="00C54B98" w:rsidRPr="00C54B98">
        <w:rPr>
          <w:rFonts w:ascii="Times New Roman" w:hAnsi="Times New Roman" w:cs="Times New Roman"/>
          <w:sz w:val="28"/>
          <w:szCs w:val="28"/>
        </w:rPr>
        <w:t xml:space="preserve">буде </w:t>
      </w:r>
      <w:r w:rsidR="00C54B98">
        <w:rPr>
          <w:rFonts w:ascii="Times New Roman" w:hAnsi="Times New Roman" w:cs="Times New Roman"/>
          <w:sz w:val="28"/>
          <w:szCs w:val="28"/>
          <w:lang w:val="uk-UA"/>
        </w:rPr>
        <w:t>містити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наступне: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сформовану цілісну політику управління використанням енергії на </w:t>
      </w:r>
      <w:r w:rsidR="00C54B98">
        <w:rPr>
          <w:rFonts w:ascii="Times New Roman" w:hAnsi="Times New Roman" w:cs="Times New Roman"/>
          <w:sz w:val="28"/>
          <w:szCs w:val="28"/>
          <w:lang w:val="uk-UA"/>
        </w:rPr>
        <w:t xml:space="preserve">принципах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сталого</w:t>
      </w:r>
      <w:r w:rsidR="000D4D9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озвитку;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створену спеціалізовану ланку з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в системі управління </w:t>
      </w:r>
      <w:r w:rsidR="003D5616">
        <w:rPr>
          <w:rFonts w:ascii="Times New Roman" w:hAnsi="Times New Roman" w:cs="Times New Roman"/>
          <w:sz w:val="28"/>
          <w:szCs w:val="28"/>
          <w:lang w:val="uk-UA"/>
        </w:rPr>
        <w:t>містом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спроможну розробляти і втілювати у життя </w:t>
      </w:r>
      <w:r w:rsidR="00C54B98">
        <w:rPr>
          <w:rFonts w:ascii="Times New Roman" w:hAnsi="Times New Roman" w:cs="Times New Roman"/>
          <w:sz w:val="28"/>
          <w:szCs w:val="28"/>
          <w:lang w:val="uk-UA"/>
        </w:rPr>
        <w:t>енергоощадну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політику;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до роботи в інфраструктурі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залучатимуться спеціалісти з досвідом теорії 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практики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створену електронну базу даних про об'єкти енергоспоживання, засобів дляоперативного збору та аналізу даних про споживання енергії на кожному конкретномуоб'єкті та фактори, які суттєво впливають на це споживання;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створену систему контролю та звітності у питаннях ефективності використання енергії;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ефективне використання коштів, направлених на впровадження проектів модернізації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об’єктів, що споживають, транспортують та виробляють енергоресурси;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розроблений механізм мотивування енергоощадної поведінки персоналу та споживачів.</w:t>
      </w:r>
    </w:p>
    <w:p w:rsidR="00735D80" w:rsidRPr="00735D80" w:rsidRDefault="00735D80" w:rsidP="00735D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0D4D93" w:rsidRPr="00735D80" w:rsidRDefault="00735D80" w:rsidP="00735D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6</w:t>
      </w:r>
      <w:r w:rsidR="000D4D93"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Перевірка та внутрішній аудит системи</w:t>
      </w:r>
    </w:p>
    <w:p w:rsidR="000D4D93" w:rsidRPr="00735D80" w:rsidRDefault="000D4D93" w:rsidP="00735D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енергетичного менеджменту</w:t>
      </w:r>
    </w:p>
    <w:p w:rsidR="00F84B87" w:rsidRDefault="00F84B87" w:rsidP="003D5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Стандарт ДСТУ ISO 50001:2020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«Системи енергетичного менеджменту» дає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можливість розробити системи та процеси, необхідні для поліпшення енергетичної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результативності. </w:t>
      </w:r>
    </w:p>
    <w:p w:rsidR="00F84B87" w:rsidRDefault="00F84B87" w:rsidP="00F84B8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B87">
        <w:rPr>
          <w:rFonts w:ascii="Times New Roman" w:hAnsi="Times New Roman" w:cs="Times New Roman"/>
          <w:sz w:val="28"/>
          <w:szCs w:val="28"/>
          <w:lang w:val="uk-UA"/>
        </w:rPr>
        <w:t xml:space="preserve">Згідно вимог стандарту, основою енергетичного менеджменту є постійне функціонування циклу </w:t>
      </w:r>
      <w:proofErr w:type="spellStart"/>
      <w:r w:rsidRPr="00F84B87">
        <w:rPr>
          <w:rFonts w:ascii="Times New Roman" w:hAnsi="Times New Roman" w:cs="Times New Roman"/>
          <w:sz w:val="28"/>
          <w:szCs w:val="28"/>
          <w:lang w:val="uk-UA"/>
        </w:rPr>
        <w:t>Демінга</w:t>
      </w:r>
      <w:proofErr w:type="spellEnd"/>
      <w:r w:rsidRPr="00F84B87">
        <w:rPr>
          <w:rFonts w:ascii="Times New Roman" w:hAnsi="Times New Roman" w:cs="Times New Roman"/>
          <w:sz w:val="28"/>
          <w:szCs w:val="28"/>
          <w:lang w:val="uk-UA"/>
        </w:rPr>
        <w:t>, що включає наступні аспекти: планування, виконання, перевірка, контроль та покращення.</w:t>
      </w:r>
    </w:p>
    <w:p w:rsidR="00F84B87" w:rsidRDefault="00F84B87" w:rsidP="00F84B8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B87" w:rsidRDefault="00F84B87" w:rsidP="00F84B8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E0A">
        <w:rPr>
          <w:lang w:val="uk-UA"/>
        </w:rPr>
        <w:object w:dxaOrig="8814" w:dyaOrig="4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215.25pt" o:ole="">
            <v:imagedata r:id="rId8" o:title=""/>
          </v:shape>
          <o:OLEObject Type="Embed" ProgID="Visio.Drawing.11" ShapeID="_x0000_i1025" DrawAspect="Content" ObjectID="_1683363780" r:id="rId9"/>
        </w:object>
      </w:r>
    </w:p>
    <w:p w:rsidR="00F84B87" w:rsidRDefault="00F84B87" w:rsidP="00F84B8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 системі енергетичного менеджменту 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передбачається наступне: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забезпечення введення плану енергетичних вимірів та постійного моніторингу взапланованих інтервалах часу;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забезпечення постійної перевірки всіх засобів вимірювання в системі енергетичного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менеджменту;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через певні інтервали часу </w:t>
      </w:r>
      <w:r w:rsidR="00876453" w:rsidRPr="000D4D93">
        <w:rPr>
          <w:rFonts w:ascii="Times New Roman" w:hAnsi="Times New Roman" w:cs="Times New Roman"/>
          <w:sz w:val="28"/>
          <w:szCs w:val="28"/>
          <w:lang w:val="uk-UA"/>
        </w:rPr>
        <w:t>з метою постійного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453" w:rsidRPr="000D4D93">
        <w:rPr>
          <w:rFonts w:ascii="Times New Roman" w:hAnsi="Times New Roman" w:cs="Times New Roman"/>
          <w:sz w:val="28"/>
          <w:szCs w:val="28"/>
          <w:lang w:val="uk-UA"/>
        </w:rPr>
        <w:t>удосконалення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7645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 xml:space="preserve">перевірки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відповідності системи енергетичного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менеджменту до українських норм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та законодавчи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х актів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створення плану проведення внутрішнього аудиту системи енергетичного менеджменту;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створення та документування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кори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гувальних та попереджувальних дій щодо</w:t>
      </w:r>
      <w:r w:rsidR="00F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невідповідності ефективності споживання енергоресурсів запланованим показникам;</w:t>
      </w:r>
    </w:p>
    <w:p w:rsidR="000D4D93" w:rsidRPr="000D4D93" w:rsidRDefault="003D5616" w:rsidP="0087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створення системи зберігання даних функціонування системи енергетичногоменеджменту, що свідчать про її результативність та відповідність с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истеми вимогам ДСТУ</w:t>
      </w:r>
      <w:r w:rsidR="00E5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ISO 50001:2020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6453" w:rsidRDefault="000D4D93" w:rsidP="0087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Застосування постійної перевірки та внутрішнього аудиту сприятиме формуванню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позитивного іміджу</w:t>
      </w:r>
      <w:r w:rsidR="00FB27B4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яке демонструє постійне дотримання нормативно-правових</w:t>
      </w:r>
      <w:r w:rsidR="00863F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вимог у галузі енергоефективності, захисту навколишнього 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середовища, економії природних</w:t>
      </w:r>
      <w:r w:rsidR="00863F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ресурсів, зниження екологічних ризиків та ризиків пов’язаних з енергопостачанням і</w:t>
      </w:r>
      <w:r w:rsidR="00863F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енергоспоживанням. В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 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це сприятиме істотному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підвищенню інвестиційної привабливості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F4C" w:rsidRPr="000D4D93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8764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4D93" w:rsidRPr="00876453" w:rsidRDefault="00876453" w:rsidP="0087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453">
        <w:rPr>
          <w:rFonts w:ascii="Times New Roman" w:hAnsi="Times New Roman" w:cs="Times New Roman"/>
          <w:sz w:val="28"/>
          <w:szCs w:val="28"/>
          <w:lang w:val="uk-UA"/>
        </w:rPr>
        <w:t>Після повного впровадження системи енергетичного менеджменту місто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6453">
        <w:rPr>
          <w:rFonts w:ascii="Times New Roman" w:hAnsi="Times New Roman" w:cs="Times New Roman"/>
          <w:sz w:val="28"/>
          <w:szCs w:val="28"/>
          <w:lang w:val="uk-UA"/>
        </w:rPr>
        <w:t>зможе отримати сертифікат якості у відповідності до стандарту ДСТУ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ISO</w:t>
      </w:r>
      <w:r w:rsidR="00E5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50001:2020</w:t>
      </w:r>
      <w:r w:rsidRPr="00876453">
        <w:rPr>
          <w:rFonts w:ascii="Times New Roman" w:hAnsi="Times New Roman" w:cs="Times New Roman"/>
          <w:sz w:val="28"/>
          <w:szCs w:val="28"/>
          <w:lang w:val="uk-UA"/>
        </w:rPr>
        <w:t xml:space="preserve"> «Системи енергетичного менеджменту</w:t>
      </w:r>
    </w:p>
    <w:p w:rsidR="00B17602" w:rsidRDefault="00B17602" w:rsidP="0087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602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602" w:rsidRDefault="00B17602" w:rsidP="00B17602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AF7" w:rsidRDefault="00DC2AF7" w:rsidP="001F4A5B">
      <w:pPr>
        <w:pStyle w:val="a6"/>
        <w:tabs>
          <w:tab w:val="left" w:pos="5103"/>
        </w:tabs>
        <w:spacing w:after="28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Керуюча справами виконавчого комітету                                       Ірина КОПИЛО</w:t>
      </w:r>
    </w:p>
    <w:p w:rsidR="00B17602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17602" w:rsidRPr="000D4D93" w:rsidSect="008764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05D89"/>
    <w:multiLevelType w:val="hybridMultilevel"/>
    <w:tmpl w:val="6478D620"/>
    <w:lvl w:ilvl="0" w:tplc="3956E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8F2224"/>
    <w:multiLevelType w:val="hybridMultilevel"/>
    <w:tmpl w:val="18B2CF4A"/>
    <w:lvl w:ilvl="0" w:tplc="DD66366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98F2950"/>
    <w:multiLevelType w:val="hybridMultilevel"/>
    <w:tmpl w:val="6D748F54"/>
    <w:lvl w:ilvl="0" w:tplc="188AAA8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1817618"/>
    <w:multiLevelType w:val="hybridMultilevel"/>
    <w:tmpl w:val="E12A88FC"/>
    <w:lvl w:ilvl="0" w:tplc="23000CE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4D93"/>
    <w:rsid w:val="00002830"/>
    <w:rsid w:val="0000351D"/>
    <w:rsid w:val="00004330"/>
    <w:rsid w:val="00004991"/>
    <w:rsid w:val="00004A4D"/>
    <w:rsid w:val="000061A6"/>
    <w:rsid w:val="0002173C"/>
    <w:rsid w:val="00023313"/>
    <w:rsid w:val="00027FB6"/>
    <w:rsid w:val="00035DB4"/>
    <w:rsid w:val="000375B3"/>
    <w:rsid w:val="00044319"/>
    <w:rsid w:val="00051B8E"/>
    <w:rsid w:val="00055085"/>
    <w:rsid w:val="000555C1"/>
    <w:rsid w:val="00072CB1"/>
    <w:rsid w:val="00084370"/>
    <w:rsid w:val="0008512B"/>
    <w:rsid w:val="00087116"/>
    <w:rsid w:val="00093CF9"/>
    <w:rsid w:val="000958FA"/>
    <w:rsid w:val="00097770"/>
    <w:rsid w:val="000A3EEF"/>
    <w:rsid w:val="000A56F7"/>
    <w:rsid w:val="000B19C0"/>
    <w:rsid w:val="000B314F"/>
    <w:rsid w:val="000B44CF"/>
    <w:rsid w:val="000B79F5"/>
    <w:rsid w:val="000C4307"/>
    <w:rsid w:val="000C744A"/>
    <w:rsid w:val="000D4D93"/>
    <w:rsid w:val="000E1CA4"/>
    <w:rsid w:val="000E58DA"/>
    <w:rsid w:val="000E78F8"/>
    <w:rsid w:val="000F19D4"/>
    <w:rsid w:val="00104638"/>
    <w:rsid w:val="001052CC"/>
    <w:rsid w:val="00111F88"/>
    <w:rsid w:val="001147B8"/>
    <w:rsid w:val="00115156"/>
    <w:rsid w:val="00116824"/>
    <w:rsid w:val="001202EE"/>
    <w:rsid w:val="0012290D"/>
    <w:rsid w:val="001260B4"/>
    <w:rsid w:val="00131147"/>
    <w:rsid w:val="00135FC1"/>
    <w:rsid w:val="001560E7"/>
    <w:rsid w:val="0017691B"/>
    <w:rsid w:val="00181D74"/>
    <w:rsid w:val="001950F6"/>
    <w:rsid w:val="001A07A2"/>
    <w:rsid w:val="001B24C9"/>
    <w:rsid w:val="001B34CA"/>
    <w:rsid w:val="001B5C14"/>
    <w:rsid w:val="001C20F2"/>
    <w:rsid w:val="001D003F"/>
    <w:rsid w:val="001D70A2"/>
    <w:rsid w:val="001E2889"/>
    <w:rsid w:val="001F12B6"/>
    <w:rsid w:val="001F4A5B"/>
    <w:rsid w:val="001F5F38"/>
    <w:rsid w:val="00212344"/>
    <w:rsid w:val="002356C4"/>
    <w:rsid w:val="0024691E"/>
    <w:rsid w:val="00246CBB"/>
    <w:rsid w:val="002514A9"/>
    <w:rsid w:val="00255D24"/>
    <w:rsid w:val="002608D7"/>
    <w:rsid w:val="0026287A"/>
    <w:rsid w:val="00264D35"/>
    <w:rsid w:val="00273A32"/>
    <w:rsid w:val="002775EA"/>
    <w:rsid w:val="00282C60"/>
    <w:rsid w:val="0028552C"/>
    <w:rsid w:val="0029666B"/>
    <w:rsid w:val="0029712C"/>
    <w:rsid w:val="002A22DD"/>
    <w:rsid w:val="002A37EE"/>
    <w:rsid w:val="002B3831"/>
    <w:rsid w:val="002B7366"/>
    <w:rsid w:val="002B778E"/>
    <w:rsid w:val="002C3E54"/>
    <w:rsid w:val="002C4155"/>
    <w:rsid w:val="002C45F3"/>
    <w:rsid w:val="002C59EF"/>
    <w:rsid w:val="002D1ECE"/>
    <w:rsid w:val="002D53FB"/>
    <w:rsid w:val="002E2870"/>
    <w:rsid w:val="002E3B0D"/>
    <w:rsid w:val="002F0E2C"/>
    <w:rsid w:val="002F1346"/>
    <w:rsid w:val="002F563E"/>
    <w:rsid w:val="002F77D6"/>
    <w:rsid w:val="00302DD0"/>
    <w:rsid w:val="00305BA1"/>
    <w:rsid w:val="0030737C"/>
    <w:rsid w:val="003100E6"/>
    <w:rsid w:val="00314467"/>
    <w:rsid w:val="003273DC"/>
    <w:rsid w:val="00336084"/>
    <w:rsid w:val="00340E8E"/>
    <w:rsid w:val="00341B18"/>
    <w:rsid w:val="003430EB"/>
    <w:rsid w:val="00351335"/>
    <w:rsid w:val="00357557"/>
    <w:rsid w:val="00357D92"/>
    <w:rsid w:val="00360352"/>
    <w:rsid w:val="00360A9D"/>
    <w:rsid w:val="00361584"/>
    <w:rsid w:val="00364D69"/>
    <w:rsid w:val="00365156"/>
    <w:rsid w:val="00366116"/>
    <w:rsid w:val="00372C78"/>
    <w:rsid w:val="00374C0E"/>
    <w:rsid w:val="0038399C"/>
    <w:rsid w:val="0038425A"/>
    <w:rsid w:val="00385BED"/>
    <w:rsid w:val="003915A5"/>
    <w:rsid w:val="003956B3"/>
    <w:rsid w:val="00395A3C"/>
    <w:rsid w:val="00397772"/>
    <w:rsid w:val="003A087C"/>
    <w:rsid w:val="003A1C8F"/>
    <w:rsid w:val="003A7F7D"/>
    <w:rsid w:val="003B5AB1"/>
    <w:rsid w:val="003B6E2A"/>
    <w:rsid w:val="003C07E3"/>
    <w:rsid w:val="003C5BA8"/>
    <w:rsid w:val="003C6BAA"/>
    <w:rsid w:val="003D13B3"/>
    <w:rsid w:val="003D1A68"/>
    <w:rsid w:val="003D1C88"/>
    <w:rsid w:val="003D1ECB"/>
    <w:rsid w:val="003D5616"/>
    <w:rsid w:val="003D5C8F"/>
    <w:rsid w:val="003E37A3"/>
    <w:rsid w:val="003E6ABB"/>
    <w:rsid w:val="003F1314"/>
    <w:rsid w:val="00424CD7"/>
    <w:rsid w:val="004257CA"/>
    <w:rsid w:val="00426200"/>
    <w:rsid w:val="0043171A"/>
    <w:rsid w:val="00432B16"/>
    <w:rsid w:val="00434722"/>
    <w:rsid w:val="00450AC2"/>
    <w:rsid w:val="00454AF0"/>
    <w:rsid w:val="00463EE6"/>
    <w:rsid w:val="0047169E"/>
    <w:rsid w:val="004734AA"/>
    <w:rsid w:val="004745F8"/>
    <w:rsid w:val="0047636A"/>
    <w:rsid w:val="0047703E"/>
    <w:rsid w:val="00482E8D"/>
    <w:rsid w:val="00483962"/>
    <w:rsid w:val="00487173"/>
    <w:rsid w:val="004908B0"/>
    <w:rsid w:val="00491C94"/>
    <w:rsid w:val="00497C55"/>
    <w:rsid w:val="004A1DB3"/>
    <w:rsid w:val="004A1EE9"/>
    <w:rsid w:val="004A5E64"/>
    <w:rsid w:val="004B2ADA"/>
    <w:rsid w:val="004B391F"/>
    <w:rsid w:val="004B4B5D"/>
    <w:rsid w:val="004C5E26"/>
    <w:rsid w:val="004D067E"/>
    <w:rsid w:val="004D0A31"/>
    <w:rsid w:val="004D0FAA"/>
    <w:rsid w:val="004D6512"/>
    <w:rsid w:val="004E3E95"/>
    <w:rsid w:val="004F7638"/>
    <w:rsid w:val="0050174C"/>
    <w:rsid w:val="005017A0"/>
    <w:rsid w:val="0051199D"/>
    <w:rsid w:val="005136F7"/>
    <w:rsid w:val="0052206B"/>
    <w:rsid w:val="00523846"/>
    <w:rsid w:val="00525C3E"/>
    <w:rsid w:val="005266BF"/>
    <w:rsid w:val="0053119A"/>
    <w:rsid w:val="0054221F"/>
    <w:rsid w:val="00560152"/>
    <w:rsid w:val="005709C9"/>
    <w:rsid w:val="0057175A"/>
    <w:rsid w:val="00594D61"/>
    <w:rsid w:val="00596F43"/>
    <w:rsid w:val="00597DF3"/>
    <w:rsid w:val="005A0049"/>
    <w:rsid w:val="005B085C"/>
    <w:rsid w:val="005B1819"/>
    <w:rsid w:val="005B2104"/>
    <w:rsid w:val="005B2D61"/>
    <w:rsid w:val="005B66C7"/>
    <w:rsid w:val="005C14BA"/>
    <w:rsid w:val="005C2D77"/>
    <w:rsid w:val="005C56E7"/>
    <w:rsid w:val="005D0C81"/>
    <w:rsid w:val="005D2D00"/>
    <w:rsid w:val="005D4CDE"/>
    <w:rsid w:val="005D69E7"/>
    <w:rsid w:val="005D6E20"/>
    <w:rsid w:val="005E129D"/>
    <w:rsid w:val="005F2BF0"/>
    <w:rsid w:val="00612133"/>
    <w:rsid w:val="0062313F"/>
    <w:rsid w:val="00623A16"/>
    <w:rsid w:val="006271F6"/>
    <w:rsid w:val="00630B23"/>
    <w:rsid w:val="006312FC"/>
    <w:rsid w:val="00647270"/>
    <w:rsid w:val="0065361F"/>
    <w:rsid w:val="006632BA"/>
    <w:rsid w:val="00670434"/>
    <w:rsid w:val="00671727"/>
    <w:rsid w:val="006765B4"/>
    <w:rsid w:val="006815A0"/>
    <w:rsid w:val="006831FF"/>
    <w:rsid w:val="006A034D"/>
    <w:rsid w:val="006A2180"/>
    <w:rsid w:val="006A7BC8"/>
    <w:rsid w:val="006B219B"/>
    <w:rsid w:val="006B7C49"/>
    <w:rsid w:val="006C04E9"/>
    <w:rsid w:val="006C4862"/>
    <w:rsid w:val="006C5FD9"/>
    <w:rsid w:val="006C703C"/>
    <w:rsid w:val="006D0D76"/>
    <w:rsid w:val="006D2144"/>
    <w:rsid w:val="006D669F"/>
    <w:rsid w:val="006E0ED6"/>
    <w:rsid w:val="006E5E40"/>
    <w:rsid w:val="006F0BBF"/>
    <w:rsid w:val="006F71C9"/>
    <w:rsid w:val="00701569"/>
    <w:rsid w:val="00710F5E"/>
    <w:rsid w:val="0071475F"/>
    <w:rsid w:val="007314ED"/>
    <w:rsid w:val="00735D80"/>
    <w:rsid w:val="00740E99"/>
    <w:rsid w:val="00746DB8"/>
    <w:rsid w:val="00753E5A"/>
    <w:rsid w:val="007564EA"/>
    <w:rsid w:val="0076430E"/>
    <w:rsid w:val="0077006C"/>
    <w:rsid w:val="007738AF"/>
    <w:rsid w:val="007747D8"/>
    <w:rsid w:val="007804D3"/>
    <w:rsid w:val="0078239A"/>
    <w:rsid w:val="0078579A"/>
    <w:rsid w:val="00792508"/>
    <w:rsid w:val="00795CB1"/>
    <w:rsid w:val="007A3517"/>
    <w:rsid w:val="007A3E6A"/>
    <w:rsid w:val="007B05E0"/>
    <w:rsid w:val="007C35A6"/>
    <w:rsid w:val="007D0056"/>
    <w:rsid w:val="007D2E00"/>
    <w:rsid w:val="007E05D1"/>
    <w:rsid w:val="007E1ECA"/>
    <w:rsid w:val="007E4FE0"/>
    <w:rsid w:val="007E53CA"/>
    <w:rsid w:val="007F20C9"/>
    <w:rsid w:val="0080049E"/>
    <w:rsid w:val="00807B59"/>
    <w:rsid w:val="008117D8"/>
    <w:rsid w:val="00812F35"/>
    <w:rsid w:val="00813975"/>
    <w:rsid w:val="00822C28"/>
    <w:rsid w:val="00827B8B"/>
    <w:rsid w:val="00832E6F"/>
    <w:rsid w:val="00834F0F"/>
    <w:rsid w:val="008353B4"/>
    <w:rsid w:val="00842177"/>
    <w:rsid w:val="00842A45"/>
    <w:rsid w:val="00845C85"/>
    <w:rsid w:val="0085012F"/>
    <w:rsid w:val="00851DF6"/>
    <w:rsid w:val="00855EE9"/>
    <w:rsid w:val="00863F4C"/>
    <w:rsid w:val="0087322A"/>
    <w:rsid w:val="00874A0D"/>
    <w:rsid w:val="00876453"/>
    <w:rsid w:val="00881D8F"/>
    <w:rsid w:val="008823DD"/>
    <w:rsid w:val="00884DC6"/>
    <w:rsid w:val="00885A92"/>
    <w:rsid w:val="008872FC"/>
    <w:rsid w:val="00894C2F"/>
    <w:rsid w:val="008950C3"/>
    <w:rsid w:val="00895A15"/>
    <w:rsid w:val="008A5448"/>
    <w:rsid w:val="008A6344"/>
    <w:rsid w:val="008B3AEF"/>
    <w:rsid w:val="008B5436"/>
    <w:rsid w:val="008B7278"/>
    <w:rsid w:val="008B77DE"/>
    <w:rsid w:val="008C10C1"/>
    <w:rsid w:val="008C544E"/>
    <w:rsid w:val="008C5F35"/>
    <w:rsid w:val="008D4130"/>
    <w:rsid w:val="008D4E30"/>
    <w:rsid w:val="008D69BC"/>
    <w:rsid w:val="008E4BF0"/>
    <w:rsid w:val="008F081B"/>
    <w:rsid w:val="008F176E"/>
    <w:rsid w:val="008F1FA1"/>
    <w:rsid w:val="008F3BC7"/>
    <w:rsid w:val="008F3DED"/>
    <w:rsid w:val="00900326"/>
    <w:rsid w:val="009104CD"/>
    <w:rsid w:val="00913D09"/>
    <w:rsid w:val="009201C2"/>
    <w:rsid w:val="00922D84"/>
    <w:rsid w:val="00922FD9"/>
    <w:rsid w:val="009239EA"/>
    <w:rsid w:val="00932216"/>
    <w:rsid w:val="009361BB"/>
    <w:rsid w:val="00943669"/>
    <w:rsid w:val="009654C0"/>
    <w:rsid w:val="00970B90"/>
    <w:rsid w:val="00971E52"/>
    <w:rsid w:val="009764DD"/>
    <w:rsid w:val="00980747"/>
    <w:rsid w:val="00982310"/>
    <w:rsid w:val="00985272"/>
    <w:rsid w:val="009864C7"/>
    <w:rsid w:val="0099166D"/>
    <w:rsid w:val="00997AE0"/>
    <w:rsid w:val="009A0F2C"/>
    <w:rsid w:val="009B1928"/>
    <w:rsid w:val="009B7478"/>
    <w:rsid w:val="009C0301"/>
    <w:rsid w:val="009C5901"/>
    <w:rsid w:val="009D5337"/>
    <w:rsid w:val="009D72C4"/>
    <w:rsid w:val="009E4CA8"/>
    <w:rsid w:val="009E567B"/>
    <w:rsid w:val="009E608B"/>
    <w:rsid w:val="009E764C"/>
    <w:rsid w:val="009F1EDF"/>
    <w:rsid w:val="009F3613"/>
    <w:rsid w:val="009F3E4C"/>
    <w:rsid w:val="00A05D38"/>
    <w:rsid w:val="00A10608"/>
    <w:rsid w:val="00A1718F"/>
    <w:rsid w:val="00A24975"/>
    <w:rsid w:val="00A25D52"/>
    <w:rsid w:val="00A2630C"/>
    <w:rsid w:val="00A26DA4"/>
    <w:rsid w:val="00A315C4"/>
    <w:rsid w:val="00A40E72"/>
    <w:rsid w:val="00A439A1"/>
    <w:rsid w:val="00A44089"/>
    <w:rsid w:val="00A477DF"/>
    <w:rsid w:val="00A515A8"/>
    <w:rsid w:val="00A55578"/>
    <w:rsid w:val="00A610E5"/>
    <w:rsid w:val="00A6146A"/>
    <w:rsid w:val="00A63096"/>
    <w:rsid w:val="00A64EF9"/>
    <w:rsid w:val="00A65DE2"/>
    <w:rsid w:val="00A75470"/>
    <w:rsid w:val="00A766FA"/>
    <w:rsid w:val="00A80991"/>
    <w:rsid w:val="00A8290C"/>
    <w:rsid w:val="00A8540D"/>
    <w:rsid w:val="00A87C20"/>
    <w:rsid w:val="00A91DD7"/>
    <w:rsid w:val="00A92889"/>
    <w:rsid w:val="00A94164"/>
    <w:rsid w:val="00AA1074"/>
    <w:rsid w:val="00AA27A6"/>
    <w:rsid w:val="00AA5E8C"/>
    <w:rsid w:val="00AA6E8E"/>
    <w:rsid w:val="00AB4AA4"/>
    <w:rsid w:val="00AC7D3B"/>
    <w:rsid w:val="00AD4BB3"/>
    <w:rsid w:val="00AD64AD"/>
    <w:rsid w:val="00AF65ED"/>
    <w:rsid w:val="00B01175"/>
    <w:rsid w:val="00B01289"/>
    <w:rsid w:val="00B02DF1"/>
    <w:rsid w:val="00B02FA9"/>
    <w:rsid w:val="00B0402E"/>
    <w:rsid w:val="00B0748B"/>
    <w:rsid w:val="00B135B4"/>
    <w:rsid w:val="00B15E1A"/>
    <w:rsid w:val="00B17602"/>
    <w:rsid w:val="00B22366"/>
    <w:rsid w:val="00B31763"/>
    <w:rsid w:val="00B34133"/>
    <w:rsid w:val="00B348AE"/>
    <w:rsid w:val="00B37836"/>
    <w:rsid w:val="00B40F51"/>
    <w:rsid w:val="00B47033"/>
    <w:rsid w:val="00B50D69"/>
    <w:rsid w:val="00B560FC"/>
    <w:rsid w:val="00B638F0"/>
    <w:rsid w:val="00B82094"/>
    <w:rsid w:val="00B86FD6"/>
    <w:rsid w:val="00B922CB"/>
    <w:rsid w:val="00BA29B6"/>
    <w:rsid w:val="00BB6C69"/>
    <w:rsid w:val="00BC5648"/>
    <w:rsid w:val="00BC71BA"/>
    <w:rsid w:val="00BD2890"/>
    <w:rsid w:val="00BD3EED"/>
    <w:rsid w:val="00BE1263"/>
    <w:rsid w:val="00BE4455"/>
    <w:rsid w:val="00BE5FF8"/>
    <w:rsid w:val="00BE7491"/>
    <w:rsid w:val="00BF0B44"/>
    <w:rsid w:val="00BF0F1F"/>
    <w:rsid w:val="00BF3264"/>
    <w:rsid w:val="00BF33BF"/>
    <w:rsid w:val="00C003AD"/>
    <w:rsid w:val="00C00E37"/>
    <w:rsid w:val="00C02123"/>
    <w:rsid w:val="00C0359A"/>
    <w:rsid w:val="00C0394F"/>
    <w:rsid w:val="00C104FE"/>
    <w:rsid w:val="00C11445"/>
    <w:rsid w:val="00C13E9E"/>
    <w:rsid w:val="00C1606B"/>
    <w:rsid w:val="00C17F3B"/>
    <w:rsid w:val="00C22DFB"/>
    <w:rsid w:val="00C30D2C"/>
    <w:rsid w:val="00C3370D"/>
    <w:rsid w:val="00C35757"/>
    <w:rsid w:val="00C37A58"/>
    <w:rsid w:val="00C37A5B"/>
    <w:rsid w:val="00C5028F"/>
    <w:rsid w:val="00C52296"/>
    <w:rsid w:val="00C53B0F"/>
    <w:rsid w:val="00C54B98"/>
    <w:rsid w:val="00C56B20"/>
    <w:rsid w:val="00C56DBB"/>
    <w:rsid w:val="00C66D16"/>
    <w:rsid w:val="00C701A3"/>
    <w:rsid w:val="00C80949"/>
    <w:rsid w:val="00C84C65"/>
    <w:rsid w:val="00C87861"/>
    <w:rsid w:val="00C963CD"/>
    <w:rsid w:val="00CB4109"/>
    <w:rsid w:val="00CB5B18"/>
    <w:rsid w:val="00CB79A6"/>
    <w:rsid w:val="00CC1381"/>
    <w:rsid w:val="00CC5C9C"/>
    <w:rsid w:val="00CC5E24"/>
    <w:rsid w:val="00CD205B"/>
    <w:rsid w:val="00CD5673"/>
    <w:rsid w:val="00CE55AD"/>
    <w:rsid w:val="00CE5AF8"/>
    <w:rsid w:val="00CF4701"/>
    <w:rsid w:val="00CF583E"/>
    <w:rsid w:val="00CF7D4E"/>
    <w:rsid w:val="00D002D6"/>
    <w:rsid w:val="00D01749"/>
    <w:rsid w:val="00D02438"/>
    <w:rsid w:val="00D02E62"/>
    <w:rsid w:val="00D07F63"/>
    <w:rsid w:val="00D22FEE"/>
    <w:rsid w:val="00D23442"/>
    <w:rsid w:val="00D426B7"/>
    <w:rsid w:val="00D4508D"/>
    <w:rsid w:val="00D464C2"/>
    <w:rsid w:val="00D47988"/>
    <w:rsid w:val="00D51C30"/>
    <w:rsid w:val="00D53636"/>
    <w:rsid w:val="00D540C8"/>
    <w:rsid w:val="00D57338"/>
    <w:rsid w:val="00D57EA1"/>
    <w:rsid w:val="00D60355"/>
    <w:rsid w:val="00D62E58"/>
    <w:rsid w:val="00D63651"/>
    <w:rsid w:val="00D6513C"/>
    <w:rsid w:val="00D66CAC"/>
    <w:rsid w:val="00D76120"/>
    <w:rsid w:val="00D84813"/>
    <w:rsid w:val="00D92A43"/>
    <w:rsid w:val="00D96B16"/>
    <w:rsid w:val="00D96B63"/>
    <w:rsid w:val="00DA0284"/>
    <w:rsid w:val="00DA3145"/>
    <w:rsid w:val="00DA7537"/>
    <w:rsid w:val="00DB4C6E"/>
    <w:rsid w:val="00DB546F"/>
    <w:rsid w:val="00DC2AF7"/>
    <w:rsid w:val="00DC3041"/>
    <w:rsid w:val="00DC68D0"/>
    <w:rsid w:val="00DD0DCA"/>
    <w:rsid w:val="00DD2490"/>
    <w:rsid w:val="00DD40E7"/>
    <w:rsid w:val="00DD7B19"/>
    <w:rsid w:val="00DE21A3"/>
    <w:rsid w:val="00DE52F9"/>
    <w:rsid w:val="00DE614F"/>
    <w:rsid w:val="00DF09C0"/>
    <w:rsid w:val="00DF3423"/>
    <w:rsid w:val="00DF5F98"/>
    <w:rsid w:val="00E025F8"/>
    <w:rsid w:val="00E02FA7"/>
    <w:rsid w:val="00E06FE2"/>
    <w:rsid w:val="00E114DE"/>
    <w:rsid w:val="00E11591"/>
    <w:rsid w:val="00E12658"/>
    <w:rsid w:val="00E20624"/>
    <w:rsid w:val="00E231D5"/>
    <w:rsid w:val="00E26561"/>
    <w:rsid w:val="00E267AA"/>
    <w:rsid w:val="00E27723"/>
    <w:rsid w:val="00E27AA7"/>
    <w:rsid w:val="00E30D8C"/>
    <w:rsid w:val="00E37F58"/>
    <w:rsid w:val="00E43D31"/>
    <w:rsid w:val="00E51689"/>
    <w:rsid w:val="00E55716"/>
    <w:rsid w:val="00E56BC8"/>
    <w:rsid w:val="00E60C97"/>
    <w:rsid w:val="00E62E80"/>
    <w:rsid w:val="00E738F6"/>
    <w:rsid w:val="00E73EFF"/>
    <w:rsid w:val="00E76B55"/>
    <w:rsid w:val="00E811F3"/>
    <w:rsid w:val="00E81B7F"/>
    <w:rsid w:val="00E83F5E"/>
    <w:rsid w:val="00E904FC"/>
    <w:rsid w:val="00E90684"/>
    <w:rsid w:val="00E9145E"/>
    <w:rsid w:val="00E96E8D"/>
    <w:rsid w:val="00EA4EA0"/>
    <w:rsid w:val="00EB36A4"/>
    <w:rsid w:val="00EB62BA"/>
    <w:rsid w:val="00EC14C4"/>
    <w:rsid w:val="00EC18CA"/>
    <w:rsid w:val="00EC1F68"/>
    <w:rsid w:val="00EC255D"/>
    <w:rsid w:val="00EC378C"/>
    <w:rsid w:val="00ED14B8"/>
    <w:rsid w:val="00ED2B9D"/>
    <w:rsid w:val="00ED38A8"/>
    <w:rsid w:val="00ED4197"/>
    <w:rsid w:val="00ED4716"/>
    <w:rsid w:val="00ED57C2"/>
    <w:rsid w:val="00EE130B"/>
    <w:rsid w:val="00EF1C8C"/>
    <w:rsid w:val="00EF2580"/>
    <w:rsid w:val="00EF2780"/>
    <w:rsid w:val="00F01CFD"/>
    <w:rsid w:val="00F045F4"/>
    <w:rsid w:val="00F04F92"/>
    <w:rsid w:val="00F067BA"/>
    <w:rsid w:val="00F22273"/>
    <w:rsid w:val="00F25B51"/>
    <w:rsid w:val="00F260D3"/>
    <w:rsid w:val="00F30D45"/>
    <w:rsid w:val="00F320FC"/>
    <w:rsid w:val="00F36819"/>
    <w:rsid w:val="00F410D6"/>
    <w:rsid w:val="00F429CC"/>
    <w:rsid w:val="00F432A9"/>
    <w:rsid w:val="00F466D4"/>
    <w:rsid w:val="00F51FDD"/>
    <w:rsid w:val="00F5569E"/>
    <w:rsid w:val="00F5732B"/>
    <w:rsid w:val="00F60FF0"/>
    <w:rsid w:val="00F648D3"/>
    <w:rsid w:val="00F64DFF"/>
    <w:rsid w:val="00F6663A"/>
    <w:rsid w:val="00F705B3"/>
    <w:rsid w:val="00F73038"/>
    <w:rsid w:val="00F73222"/>
    <w:rsid w:val="00F746D1"/>
    <w:rsid w:val="00F7605D"/>
    <w:rsid w:val="00F8001F"/>
    <w:rsid w:val="00F80FFE"/>
    <w:rsid w:val="00F81B46"/>
    <w:rsid w:val="00F8247F"/>
    <w:rsid w:val="00F84B87"/>
    <w:rsid w:val="00F84DD9"/>
    <w:rsid w:val="00F92DA7"/>
    <w:rsid w:val="00F931E1"/>
    <w:rsid w:val="00F93B60"/>
    <w:rsid w:val="00FA38E4"/>
    <w:rsid w:val="00FA5F81"/>
    <w:rsid w:val="00FB0935"/>
    <w:rsid w:val="00FB27B4"/>
    <w:rsid w:val="00FB2EA2"/>
    <w:rsid w:val="00FB55B6"/>
    <w:rsid w:val="00FC077A"/>
    <w:rsid w:val="00FC0DF0"/>
    <w:rsid w:val="00FD4797"/>
    <w:rsid w:val="00FE3CDC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D93"/>
    <w:pPr>
      <w:ind w:left="720"/>
      <w:contextualSpacing/>
    </w:pPr>
  </w:style>
  <w:style w:type="paragraph" w:customStyle="1" w:styleId="1">
    <w:name w:val="Обычный1"/>
    <w:rsid w:val="00B17602"/>
    <w:pPr>
      <w:spacing w:after="160" w:line="259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93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E1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DC2AF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Сноска"/>
    <w:basedOn w:val="a0"/>
    <w:rsid w:val="00D636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singl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_________Microsoft_Visio_2003_201011111111.vsd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B858E-AEAF-4CA0-AA88-0203DD30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8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2021-05-12T13:20:00Z</cp:lastPrinted>
  <dcterms:created xsi:type="dcterms:W3CDTF">2021-03-22T08:45:00Z</dcterms:created>
  <dcterms:modified xsi:type="dcterms:W3CDTF">2021-05-24T09:17:00Z</dcterms:modified>
</cp:coreProperties>
</file>